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114127" cy="11763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Topic/Objective: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Essential Literary Terms</w:t>
      </w: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  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for 9th Grade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 xml:space="preserve">Period: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Content/Class: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English 9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What are the literary elements that we will use throughout this year?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                                                                      Setting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 Use page 24 of your textbook to fill in the blanks below.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The setting of a story is the particular ________________ and ________________ in which the events occur.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A story may be set in a ________________ or an ________________ place.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The events may occur in the ________________, the ________________, or the ________________.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________________ help the readers picture the setting in their minds.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Setting can play an important role in what happens to the ________________ and how they ________________.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24"/>
                <w:szCs w:val="24"/>
                <w:rtl w:val="0"/>
              </w:rPr>
              <w:t xml:space="preserve"> FOUR ELEMENTS OF SETTING. </w:t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sz w:val="24"/>
                <w:szCs w:val="24"/>
                <w:rtl w:val="0"/>
              </w:rPr>
              <w:t xml:space="preserve">[social setting, mood, place, time]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when the story takes place (year, season, specific date)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.________________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where the story takes place (country, room in a house)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________________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State of affairs and major issues (wartime, election, economy)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feelings created by description and tone of author’s writing.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rPr>
          <w:trHeight w:val="10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Allusion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Metaphor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Simile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Onomatopoeia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Symbol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Covered By Your Grac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CoveredByYourGrace-regular.ttf"/></Relationships>
</file>