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7B" w:rsidRPr="00622F7B" w:rsidRDefault="00622F7B" w:rsidP="00622F7B">
      <w:pPr>
        <w:spacing w:line="240" w:lineRule="auto"/>
        <w:contextualSpacing/>
        <w:rPr>
          <w:rFonts w:ascii="Bradley Hand ITC" w:hAnsi="Bradley Hand ITC"/>
        </w:rPr>
      </w:pPr>
      <w:r w:rsidRPr="00622F7B">
        <w:rPr>
          <w:rFonts w:ascii="Bradley Hand ITC" w:hAnsi="Bradley Hand ITC"/>
        </w:rPr>
        <w:t>Name: _______________________________________</w:t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  <w:t>Date: ________</w:t>
      </w:r>
    </w:p>
    <w:p w:rsidR="00622F7B" w:rsidRPr="00622F7B" w:rsidRDefault="00622F7B" w:rsidP="00622F7B">
      <w:pPr>
        <w:spacing w:line="240" w:lineRule="auto"/>
        <w:contextualSpacing/>
        <w:rPr>
          <w:rFonts w:ascii="Bradley Hand ITC" w:hAnsi="Bradley Hand ITC"/>
        </w:rPr>
      </w:pPr>
      <w:r w:rsidRPr="00622F7B">
        <w:rPr>
          <w:rFonts w:ascii="Bradley Hand ITC" w:hAnsi="Bradley Hand ITC"/>
        </w:rPr>
        <w:t>Honors English 12</w:t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</w:r>
      <w:r w:rsidRPr="00622F7B">
        <w:rPr>
          <w:rFonts w:ascii="Bradley Hand ITC" w:hAnsi="Bradley Hand ITC"/>
        </w:rPr>
        <w:tab/>
        <w:t>Period: ______</w:t>
      </w:r>
    </w:p>
    <w:p w:rsidR="008A11FC" w:rsidRDefault="008A11FC" w:rsidP="008A11FC">
      <w:pPr>
        <w:spacing w:line="240" w:lineRule="auto"/>
        <w:contextualSpacing/>
        <w:rPr>
          <w:rFonts w:ascii="Bradley Hand ITC" w:hAnsi="Bradley Hand ITC"/>
        </w:rPr>
      </w:pPr>
    </w:p>
    <w:p w:rsidR="00E3285D" w:rsidRPr="008A11FC" w:rsidRDefault="008A11FC" w:rsidP="008A11FC">
      <w:pPr>
        <w:spacing w:line="240" w:lineRule="auto"/>
        <w:contextualSpacing/>
        <w:jc w:val="center"/>
        <w:rPr>
          <w:rFonts w:ascii="Bradley Hand ITC" w:hAnsi="Bradley Hand ITC"/>
          <w:b/>
          <w:sz w:val="30"/>
          <w:szCs w:val="30"/>
        </w:rPr>
      </w:pPr>
      <w:r w:rsidRPr="008A11FC">
        <w:rPr>
          <w:rFonts w:ascii="Bradley Hand ITC" w:hAnsi="Bradley Hand ITC"/>
          <w:b/>
          <w:sz w:val="30"/>
          <w:szCs w:val="30"/>
        </w:rPr>
        <w:t>Literary Elements</w:t>
      </w:r>
    </w:p>
    <w:p w:rsidR="008A11FC" w:rsidRPr="008A11FC" w:rsidRDefault="008A11FC" w:rsidP="008A11FC">
      <w:pPr>
        <w:spacing w:line="240" w:lineRule="auto"/>
        <w:contextualSpacing/>
        <w:rPr>
          <w:rFonts w:ascii="Bradley Hand ITC" w:hAnsi="Bradley Hand ITC"/>
          <w:i/>
        </w:rPr>
      </w:pPr>
      <w:r>
        <w:rPr>
          <w:rFonts w:ascii="Bradley Hand ITC" w:hAnsi="Bradley Hand ITC"/>
        </w:rPr>
        <w:t xml:space="preserve">Directions:  Match the definition to the following literary elements.  These can be used as examples of how the theme is developed in </w:t>
      </w:r>
      <w:r>
        <w:rPr>
          <w:rFonts w:ascii="Bradley Hand ITC" w:hAnsi="Bradley Hand ITC"/>
          <w:i/>
        </w:rPr>
        <w:t>Macbeth</w:t>
      </w:r>
    </w:p>
    <w:p w:rsidR="00622F7B" w:rsidRPr="00622F7B" w:rsidRDefault="008A11FC">
      <w:pPr>
        <w:rPr>
          <w:rFonts w:ascii="Bradley Hand ITC" w:hAnsi="Bradley Hand ITC"/>
        </w:rPr>
      </w:pPr>
      <w:r w:rsidRPr="00622F7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949A" wp14:editId="6A919B3B">
                <wp:simplePos x="0" y="0"/>
                <wp:positionH relativeFrom="column">
                  <wp:posOffset>-124460</wp:posOffset>
                </wp:positionH>
                <wp:positionV relativeFrom="paragraph">
                  <wp:posOffset>16179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Verse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Prose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Rhyming Couplet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Iambic Pentameter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Monologue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Soliloquy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Aside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Pun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Allusion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Hyperbole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Imagery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Caesura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Foil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Figurative Language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Protagonist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Antagonist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Supporting Characters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 xml:space="preserve">Physical </w:t>
                            </w:r>
                            <w:proofErr w:type="gramStart"/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Setting</w:t>
                            </w:r>
                            <w:proofErr w:type="gramEnd"/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 xml:space="preserve">Social </w:t>
                            </w:r>
                            <w:proofErr w:type="gramStart"/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Setting</w:t>
                            </w:r>
                            <w:proofErr w:type="gramEnd"/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Conflict/Resolution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Dialogue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Important Episodes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Foreshadowing</w:t>
                            </w:r>
                          </w:p>
                          <w:p w:rsidR="00622F7B" w:rsidRPr="00622F7B" w:rsidRDefault="008A11FC" w:rsidP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________</w:t>
                            </w:r>
                            <w:r w:rsidR="00622F7B" w:rsidRPr="00622F7B">
                              <w:rPr>
                                <w:rFonts w:ascii="Bradley Hand ITC" w:hAnsi="Bradley Hand ITC"/>
                              </w:rPr>
                              <w:t>Characterization</w:t>
                            </w:r>
                          </w:p>
                          <w:p w:rsidR="00622F7B" w:rsidRPr="00622F7B" w:rsidRDefault="00622F7B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1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0IJOQ4AAAAAkBAAAPAAAAAAAAAAAAAAAAAH0EAABkcnMvZG93&#10;bnJldi54bWxQSwUGAAAAAAQABADzAAAAigUAAAAA&#10;" stroked="f">
                <v:textbox style="mso-fit-shape-to-text:t">
                  <w:txbxContent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Verse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Prose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Rhyming Couplet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Iambic Pentameter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Monologue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Soliloquy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Aside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Pun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Allusion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Hyperbole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Imagery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Caesura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Foil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Figurative Language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Protagonist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Antagonist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Supporting Characters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 xml:space="preserve">Physical </w:t>
                      </w:r>
                      <w:proofErr w:type="gramStart"/>
                      <w:r w:rsidR="00622F7B" w:rsidRPr="00622F7B">
                        <w:rPr>
                          <w:rFonts w:ascii="Bradley Hand ITC" w:hAnsi="Bradley Hand ITC"/>
                        </w:rPr>
                        <w:t>Setting</w:t>
                      </w:r>
                      <w:proofErr w:type="gramEnd"/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 xml:space="preserve">Social </w:t>
                      </w:r>
                      <w:proofErr w:type="gramStart"/>
                      <w:r w:rsidR="00622F7B" w:rsidRPr="00622F7B">
                        <w:rPr>
                          <w:rFonts w:ascii="Bradley Hand ITC" w:hAnsi="Bradley Hand ITC"/>
                        </w:rPr>
                        <w:t>Setting</w:t>
                      </w:r>
                      <w:proofErr w:type="gramEnd"/>
                      <w:r w:rsidR="00622F7B" w:rsidRPr="00622F7B">
                        <w:rPr>
                          <w:rFonts w:ascii="Bradley Hand ITC" w:hAnsi="Bradley Hand ITC"/>
                        </w:rPr>
                        <w:t xml:space="preserve"> 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Conflict/Resolution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Dialogue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Important Episodes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Foreshadowing</w:t>
                      </w:r>
                    </w:p>
                    <w:p w:rsidR="00622F7B" w:rsidRPr="00622F7B" w:rsidRDefault="008A11FC" w:rsidP="00622F7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________</w:t>
                      </w:r>
                      <w:r w:rsidR="00622F7B" w:rsidRPr="00622F7B">
                        <w:rPr>
                          <w:rFonts w:ascii="Bradley Hand ITC" w:hAnsi="Bradley Hand ITC"/>
                        </w:rPr>
                        <w:t>Characterization</w:t>
                      </w:r>
                    </w:p>
                    <w:p w:rsidR="00622F7B" w:rsidRPr="00622F7B" w:rsidRDefault="00622F7B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2F7B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C539" wp14:editId="4784F04D">
                <wp:simplePos x="0" y="0"/>
                <wp:positionH relativeFrom="column">
                  <wp:posOffset>2174240</wp:posOffset>
                </wp:positionH>
                <wp:positionV relativeFrom="paragraph">
                  <wp:posOffset>45085</wp:posOffset>
                </wp:positionV>
                <wp:extent cx="503682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joke exploiting the different possible meanings of a word or the fact that there are words that sound alike but have different meanings.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character that shows qualities that are in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contrast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with the qualities of another character with the objective to highlight the traits of the other character.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character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in a narrative that is not focused on by the primary storyline, but appears and/or is mentioned in the story enough to be more than just a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minor character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or a cameo appearance.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</w:t>
                            </w: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e.g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 sidekick, confidant, extra antagonist, minion, etc.)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writing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arranged with a metrical rhythm, typically having a rhyme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(poetry). 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Where the story takes place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remark or passage by a character in a play that is intended to be heard by the audience but unheard by the other characters in the play.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leading character or one of the major characters in a drama, movie, novel, or other fictional text.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he concept of creating characters for a narrative.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Characters may be presented by means of description, through their actions, speech, thoughts and interactions with other characters.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act of speaking one's thoughts aloud when by oneself or regardless of any hearers, especially by a character in a play.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exaggerated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statements or claims not meant to be taken literally.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pause near the middle of a line.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written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or spoken language in its ordinary form, without metrical structure.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8A11FC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The problems and how they are solved</w:t>
                            </w:r>
                          </w:p>
                          <w:p w:rsidR="00622F7B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saying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something other than what is literally meant for effect.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– Ex: 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metaphor, simile, symbol, metonymy, synecdoche, hyperbole, litotes, personification, apostrophe, verbal irony/sarcasm,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etc.</w:t>
                            </w:r>
                          </w:p>
                          <w:p w:rsidR="008A11FC" w:rsidRPr="008A11FC" w:rsidRDefault="00622F7B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converted-space"/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two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line of the same length that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rhyme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and complete one thought.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expression designed to call something to mind without mentioning it explicitly; an indirect or passing reference.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long speech by one actor in a play or movie, or as part of a theatrical or broadcast program.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warning or indication of (a future event).</w:t>
                            </w:r>
                          </w:p>
                          <w:p w:rsidR="008B164A" w:rsidRPr="008B164A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historical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>, cultural,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communal context within which the story takes place.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This could also include the struggle between who appears to have the power and who actually has the power. 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line of verse with five metrical feet, each consisting of one short (or unstressed) syllable followed by one long (or stressed) syllable, 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conversation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between two or more people as a feature of a book, play, or movie.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 events in a story, play, etc. that are most crucial to advancing the plot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person who actively opposes or is hostile to someone or something; an adversary.</w:t>
                            </w:r>
                          </w:p>
                          <w:p w:rsidR="008A11FC" w:rsidRPr="008A11FC" w:rsidRDefault="008A11FC" w:rsidP="00622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proofErr w:type="gramEnd"/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use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figurative language</w:t>
                            </w:r>
                            <w:r w:rsidRPr="008A11FC">
                              <w:rPr>
                                <w:rStyle w:val="apple-converted-space"/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8A11FC">
                              <w:rPr>
                                <w:rFonts w:ascii="Bradley Hand ITC" w:hAnsi="Bradley Hand ITC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to represent objects, actions and ideas in such a way that it appeals to our physical senses.</w:t>
                            </w:r>
                          </w:p>
                          <w:p w:rsidR="00622F7B" w:rsidRPr="008A11FC" w:rsidRDefault="00622F7B" w:rsidP="00622F7B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1.2pt;margin-top:3.55pt;width:396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" stroked="f">
                <v:textbox style="mso-fit-shape-to-text:t">
                  <w:txbxContent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joke exploiting the different possible meanings of a word or the fact that there are words that sound alike but have different meanings.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 xml:space="preserve"> character that shows qualities that are in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sz w:val="20"/>
                          <w:szCs w:val="20"/>
                          <w:shd w:val="clear" w:color="auto" w:fill="FFFFFF"/>
                        </w:rPr>
                        <w:t>contrast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with the qualities of another character with the objective to highlight the traits of the other character.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character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 a narrative that is not focused on by the primary storyline, but appears and/or is mentioned in the story enough to be more than just a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minor character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or a cameo appearance.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e.g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 sidekick, confidant, extra antagonist, minion, etc.)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writing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arranged with a metrical rhythm, typically having a rhyme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(poetry). 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Where the story takes place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remark or passage by a character in a play that is intended to be heard by the audience but unheard by the other characters in the play.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leading character or one of the major characters in a drama, movie, novel, or other fictional text.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he concept of creating characters for a narrative.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Characters may be presented by means of description, through their actions, speech, thoughts and interactions with other characters.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act of speaking one's thoughts aloud when by oneself or regardless of any hearers, especially by a character in a play.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exaggerated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statements or claims not meant to be taken literally.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pause near the middle of a line.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written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 spoken language in its ordinary form, without metrical structure.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8A11FC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The problems and how they are solved</w:t>
                      </w:r>
                    </w:p>
                    <w:p w:rsidR="00622F7B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saying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something other than what is literally meant for effect.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– Ex: 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metaphor, simile, symbol, metonymy, synecdoche, hyperbole, litotes, personification, apostrophe, verbal irony/sarcasm,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etc.</w:t>
                      </w:r>
                    </w:p>
                    <w:p w:rsidR="008A11FC" w:rsidRPr="008A11FC" w:rsidRDefault="00622F7B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apple-converted-space"/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two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line of the same length that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rhyme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and complete one thought.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expression designed to call something to mind without mentioning it explicitly; an indirect or passing reference.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long speech by one actor in a play or movie, or as part of a theatrical or broadcast program.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be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 warning or indication of (a future event).</w:t>
                      </w:r>
                    </w:p>
                    <w:p w:rsidR="008B164A" w:rsidRPr="008B164A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 xml:space="preserve"> historical</w:t>
                      </w:r>
                      <w:r w:rsidRPr="008A11FC">
                        <w:rPr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>, cultural,</w:t>
                      </w:r>
                      <w:r w:rsidRPr="008A11FC">
                        <w:rPr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 xml:space="preserve"> and communal context within which the story takes place.</w:t>
                      </w:r>
                      <w:r w:rsidRPr="008A11FC">
                        <w:rPr>
                          <w:rFonts w:ascii="Bradley Hand ITC" w:hAnsi="Bradley Hand ITC" w:cs="Arial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  <w:t xml:space="preserve"> This could also include the struggle between who appears to have the power and who actually has the power. 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 line of verse with five metrical feet, each consisting of one short (or unstressed) syllable followed by one long (or stressed) syllable, 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conversation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between two or more people as a feature of a book, play, or movie.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 events in a story, play, etc. that are most crucial to advancing the plot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person who actively opposes or is hostile to someone or something; an adversary.</w:t>
                      </w:r>
                    </w:p>
                    <w:p w:rsidR="008A11FC" w:rsidRPr="008A11FC" w:rsidRDefault="008A11FC" w:rsidP="00622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proofErr w:type="gramStart"/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proofErr w:type="gramEnd"/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 xml:space="preserve"> use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sz w:val="20"/>
                          <w:szCs w:val="20"/>
                          <w:shd w:val="clear" w:color="auto" w:fill="FFFFFF"/>
                        </w:rPr>
                        <w:t>figurative language</w:t>
                      </w:r>
                      <w:r w:rsidRPr="008A11FC">
                        <w:rPr>
                          <w:rStyle w:val="apple-converted-space"/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8A11FC">
                        <w:rPr>
                          <w:rFonts w:ascii="Bradley Hand ITC" w:hAnsi="Bradley Hand ITC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to represent objects, actions and ideas in such a way that it appeals to our physical senses.</w:t>
                      </w:r>
                    </w:p>
                    <w:p w:rsidR="00622F7B" w:rsidRPr="008A11FC" w:rsidRDefault="00622F7B" w:rsidP="00622F7B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2F7B" w:rsidRPr="00622F7B" w:rsidSect="008A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648"/>
    <w:multiLevelType w:val="hybridMultilevel"/>
    <w:tmpl w:val="23B2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7B"/>
    <w:rsid w:val="000F358A"/>
    <w:rsid w:val="004248F4"/>
    <w:rsid w:val="00622F7B"/>
    <w:rsid w:val="008A11FC"/>
    <w:rsid w:val="008B164A"/>
    <w:rsid w:val="00B16379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F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F7B"/>
  </w:style>
  <w:style w:type="character" w:styleId="Hyperlink">
    <w:name w:val="Hyperlink"/>
    <w:basedOn w:val="DefaultParagraphFont"/>
    <w:uiPriority w:val="99"/>
    <w:semiHidden/>
    <w:unhideWhenUsed/>
    <w:rsid w:val="00622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F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F7B"/>
  </w:style>
  <w:style w:type="character" w:styleId="Hyperlink">
    <w:name w:val="Hyperlink"/>
    <w:basedOn w:val="DefaultParagraphFont"/>
    <w:uiPriority w:val="99"/>
    <w:semiHidden/>
    <w:unhideWhenUsed/>
    <w:rsid w:val="0062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2015-11-23T15:16:00Z</cp:lastPrinted>
  <dcterms:created xsi:type="dcterms:W3CDTF">2015-11-23T14:32:00Z</dcterms:created>
  <dcterms:modified xsi:type="dcterms:W3CDTF">2015-11-23T16:06:00Z</dcterms:modified>
</cp:coreProperties>
</file>